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C6B57" w:rsidRPr="00DC6B5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B57" w:rsidRPr="00DC6B57" w:rsidRDefault="00DC6B57" w:rsidP="00DC6B57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微软雅黑" w:eastAsia="微软雅黑" w:hAnsi="微软雅黑" w:cs="宋体"/>
                <w:b/>
                <w:bCs/>
                <w:kern w:val="36"/>
                <w:sz w:val="48"/>
                <w:szCs w:val="48"/>
              </w:rPr>
            </w:pPr>
            <w:r w:rsidRPr="00DC6B57">
              <w:rPr>
                <w:rFonts w:ascii="微软雅黑" w:eastAsia="微软雅黑" w:hAnsi="微软雅黑" w:cs="宋体" w:hint="eastAsia"/>
                <w:b/>
                <w:bCs/>
                <w:kern w:val="36"/>
                <w:sz w:val="48"/>
                <w:szCs w:val="48"/>
              </w:rPr>
              <w:t>NCCE公司介绍</w:t>
            </w:r>
          </w:p>
        </w:tc>
      </w:tr>
      <w:tr w:rsidR="00DC6B57" w:rsidRPr="00DC6B5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B57" w:rsidRPr="00DC6B57" w:rsidRDefault="00DC6B57" w:rsidP="00DC6B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:rsidR="00DC6B57" w:rsidRPr="00DC6B57" w:rsidRDefault="00DC6B57" w:rsidP="00DC6B57">
      <w:pPr>
        <w:widowControl/>
        <w:jc w:val="left"/>
        <w:rPr>
          <w:rFonts w:ascii="微软雅黑" w:eastAsia="微软雅黑" w:hAnsi="微软雅黑" w:cs="宋体"/>
          <w:vanish/>
          <w:kern w:val="0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C6B57" w:rsidRPr="00DC6B5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B57" w:rsidRPr="00DC6B57" w:rsidRDefault="00DC6B57" w:rsidP="00DC6B57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C6B57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南宁（中国—东盟）商品交易所，英文名称Nanning (China—ASEAN) Commodity Exchange（以下简称NCCE），是由广西南宁市人民政府领导组建，并在国家商务部备案，于2006年依法注册成立的大宗商品现货电子交易市场，注册资本金一亿元人民币，是经国务院2013年6月联席会议审批，全国第一批获得冠以“交易所”名称的大宗商品电子交易场所。交易所为有限责任公司制，营业执照号450100000000435。公司经营范围：从事各类工业品、农产品、能源产品、进出口商品、机械化工等大宗物资的现货竞价交易（国家有专项政策规定除外）、信息咨询、会议会展服务，对饮食业、娱乐业、仓储物流业的投资与管理。 </w:t>
            </w:r>
          </w:p>
          <w:p w:rsidR="00DC6B57" w:rsidRPr="00DC6B57" w:rsidRDefault="00DC6B57" w:rsidP="00DC6B57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C6B57">
              <w:rPr>
                <w:rFonts w:ascii="微软雅黑" w:eastAsia="微软雅黑" w:hAnsi="微软雅黑" w:cs="宋体" w:hint="eastAsia"/>
                <w:kern w:val="0"/>
                <w:szCs w:val="21"/>
              </w:rPr>
              <w:t>NCCE地址：广西南宁市金浦路16号汇东国际二层，营业面积5600余平方米，现设有场内交易席位320个，场外远程交易席位可达几十万个。</w:t>
            </w:r>
          </w:p>
          <w:p w:rsidR="00DC6B57" w:rsidRPr="00DC6B57" w:rsidRDefault="00DC6B57" w:rsidP="00DC6B57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C6B57">
              <w:rPr>
                <w:rFonts w:ascii="微软雅黑" w:eastAsia="微软雅黑" w:hAnsi="微软雅黑" w:cs="宋体" w:hint="eastAsia"/>
                <w:kern w:val="0"/>
                <w:szCs w:val="21"/>
              </w:rPr>
              <w:t>NCCE于2007年10月开始试运行，2008年5月16日正式挂牌交易。目前，上市交易的品种有：白糖、大豆、玉米、稻谷、豆粕、豆油、化肥、糖蜜和废钢等；计划近期上市交易的品种有：酒精、淀粉、煤炭、铁矿石、有色金属、钢材和木材等。  </w:t>
            </w:r>
          </w:p>
          <w:p w:rsidR="00DC6B57" w:rsidRPr="00DC6B57" w:rsidRDefault="00DC6B57" w:rsidP="00DC6B57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C6B57">
              <w:rPr>
                <w:rFonts w:ascii="微软雅黑" w:eastAsia="微软雅黑" w:hAnsi="微软雅黑" w:cs="宋体" w:hint="eastAsia"/>
                <w:kern w:val="0"/>
                <w:szCs w:val="21"/>
              </w:rPr>
              <w:t>NCCE不仅运用“集中交易、异地交收、就近提货”最新的交收模式，而且还独创了“挂牌交易”、“竞价交易”“回购交易”等迄今为止业内最为先进的交易模式，为商家营造了公开、公平、公正、高效、低成本的商业环境，充分满足市场参与者生产经营的不同需要。</w:t>
            </w:r>
          </w:p>
          <w:p w:rsidR="00DC6B57" w:rsidRPr="00DC6B57" w:rsidRDefault="00DC6B57" w:rsidP="00DC6B57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C6B57">
              <w:rPr>
                <w:rFonts w:ascii="微软雅黑" w:eastAsia="微软雅黑" w:hAnsi="微软雅黑" w:cs="宋体" w:hint="eastAsia"/>
                <w:kern w:val="0"/>
                <w:szCs w:val="21"/>
              </w:rPr>
              <w:t>为维护市场参与者的合法权益，保障商品交易的安全与稳定，NCCE制定了一系列的交易管理制度及风险控制措施，特别是在资金管理上，按照国务院的要求，完全采用“交易资金第三方监管”模式，有效地保障会员资金的安全。为了防止部分会员的恶意违约，交易</w:t>
            </w:r>
            <w:r w:rsidRPr="00DC6B57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所还制定了“不履约申请”交易制度，构成了NCCE的管理特色。</w:t>
            </w:r>
          </w:p>
          <w:p w:rsidR="00DC6B57" w:rsidRPr="00DC6B57" w:rsidRDefault="00DC6B57" w:rsidP="00DC6B57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C6B57">
              <w:rPr>
                <w:rFonts w:ascii="微软雅黑" w:eastAsia="微软雅黑" w:hAnsi="微软雅黑" w:cs="宋体" w:hint="eastAsia"/>
                <w:kern w:val="0"/>
                <w:szCs w:val="21"/>
              </w:rPr>
              <w:t>为了拓展业务，NCCE从2010年3月开始在中国-东盟自贸区内布局，在东盟10国设立办事机构，将NCCE的交易业务辐射到这些国家，还先后对越南、印度尼西亚、马来西亚、泰国、柬埔寨等国进行了多次的经贸考察和商务谈判，计划在印尼、越南、马来西亚、泰国NCCE大宗商品离岸交易中心，其中印尼离岸交易中心已2014年6月正式成立。经印尼政府批准，由NCCE投资设立的亚太商品交易所也已将在近期内开业。所有设在海外的离岸交易中心均以人民币作为交易报价和结算货币，提升人民币在国际流通中的实力和地位。NCCE在2009年开始建设的“中国农村商品电子交易网”业已开通了500多个村子，农民足不出村即可进行农产品、农资及各种商品的交易。此外，经国家有关部门和广西区、防城港市政府的批准，防城港再生资源交易中心及产业加工基地已正式立项，项目占地1500亩，拥有657米的海岸线，目前项目在紧锣密鼓进行之中。</w:t>
            </w:r>
          </w:p>
        </w:tc>
      </w:tr>
    </w:tbl>
    <w:p w:rsidR="00DC6B57" w:rsidRDefault="00DC6B57"/>
    <w:p w:rsidR="003C1D2E" w:rsidRDefault="003C1D2E"/>
    <w:p w:rsidR="003C1D2E" w:rsidRDefault="003C1D2E">
      <w:r>
        <w:rPr>
          <w:rFonts w:hint="eastAsia"/>
        </w:rPr>
        <w:t>关于我们：</w:t>
      </w:r>
    </w:p>
    <w:p w:rsidR="00CB4595" w:rsidRDefault="00CB4595" w:rsidP="00CB4595">
      <w:r w:rsidRPr="003C1D2E">
        <w:rPr>
          <w:rFonts w:hint="eastAsia"/>
        </w:rPr>
        <w:t>深圳</w:t>
      </w:r>
      <w:r>
        <w:rPr>
          <w:rFonts w:hint="eastAsia"/>
        </w:rPr>
        <w:t>市</w:t>
      </w:r>
      <w:r w:rsidRPr="003C1D2E">
        <w:rPr>
          <w:rFonts w:hint="eastAsia"/>
        </w:rPr>
        <w:t>东盈投资管理有限公司</w:t>
      </w:r>
      <w:r>
        <w:rPr>
          <w:rFonts w:hint="eastAsia"/>
        </w:rPr>
        <w:t>（</w:t>
      </w:r>
      <w:r>
        <w:rPr>
          <w:rFonts w:hint="eastAsia"/>
        </w:rPr>
        <w:t>DYI</w:t>
      </w:r>
      <w:r>
        <w:rPr>
          <w:rFonts w:hint="eastAsia"/>
        </w:rPr>
        <w:t>）</w:t>
      </w:r>
      <w:r w:rsidRPr="003C1D2E">
        <w:rPr>
          <w:rFonts w:hint="eastAsia"/>
        </w:rPr>
        <w:t>是南宁（中国</w:t>
      </w:r>
      <w:r w:rsidRPr="003C1D2E">
        <w:rPr>
          <w:rFonts w:hint="eastAsia"/>
        </w:rPr>
        <w:t>-</w:t>
      </w:r>
      <w:r w:rsidRPr="003C1D2E">
        <w:rPr>
          <w:rFonts w:hint="eastAsia"/>
        </w:rPr>
        <w:t>东盟）交易所的综合会员，会员编号</w:t>
      </w:r>
      <w:r w:rsidRPr="003C1D2E">
        <w:rPr>
          <w:rFonts w:hint="eastAsia"/>
        </w:rPr>
        <w:t>338</w:t>
      </w:r>
      <w:r>
        <w:rPr>
          <w:rFonts w:hint="eastAsia"/>
        </w:rPr>
        <w:t>号</w:t>
      </w:r>
      <w:r w:rsidRPr="00CB4595">
        <w:t>。</w:t>
      </w:r>
      <w:r>
        <w:rPr>
          <w:rFonts w:hint="eastAsia"/>
        </w:rPr>
        <w:t>公司位于中国的改革开放前沿</w:t>
      </w:r>
      <w:r>
        <w:t>—</w:t>
      </w:r>
      <w:r>
        <w:rPr>
          <w:rFonts w:hint="eastAsia"/>
        </w:rPr>
        <w:t>深圳，公司拥有一大批业类的行业精英和专业人才，为客户提供全方位的、可靠的投资管理和专业的投资咨询。</w:t>
      </w:r>
    </w:p>
    <w:p w:rsidR="00CB4595" w:rsidRPr="00CB4595" w:rsidRDefault="00CB4595" w:rsidP="00CB4595">
      <w:r w:rsidRPr="003C1D2E">
        <w:rPr>
          <w:rFonts w:hint="eastAsia"/>
        </w:rPr>
        <w:t>深圳</w:t>
      </w:r>
      <w:r>
        <w:rPr>
          <w:rFonts w:hint="eastAsia"/>
        </w:rPr>
        <w:t>市</w:t>
      </w:r>
      <w:r w:rsidRPr="003C1D2E">
        <w:rPr>
          <w:rFonts w:hint="eastAsia"/>
        </w:rPr>
        <w:t>东盈投资管理有限公司</w:t>
      </w:r>
      <w:r w:rsidRPr="00CB4595">
        <w:t>以超前独特的运营思路和远景规划，独辟蹊径，广纳贤才，打造而成一支管理规范、技术过硬、作风稳健、富于激情和创业精神的专业化投资理财团队。</w:t>
      </w:r>
      <w:r>
        <w:rPr>
          <w:rFonts w:hint="eastAsia"/>
        </w:rPr>
        <w:t>公司专注于石油、贵金属的</w:t>
      </w:r>
      <w:r w:rsidR="00187861">
        <w:rPr>
          <w:rFonts w:hint="eastAsia"/>
        </w:rPr>
        <w:t>现货</w:t>
      </w:r>
      <w:r>
        <w:rPr>
          <w:rFonts w:hint="eastAsia"/>
        </w:rPr>
        <w:t>投资领域，为客户搭建可靠的投资平台，同时公司将</w:t>
      </w:r>
      <w:r w:rsidRPr="00CB4595">
        <w:t>以诚信、稳健、创新、卓越、共赢为理念，立足于国内，面向全球，不断壮大公司实力，全方位为投资者提供全新的服务。</w:t>
      </w:r>
      <w:r w:rsidRPr="00CB4595">
        <w:br/>
      </w:r>
      <w:r w:rsidRPr="00CB4595">
        <w:t xml:space="preserve">　　心有多大，舞台就有多大！</w:t>
      </w:r>
      <w:r w:rsidRPr="003C1D2E">
        <w:rPr>
          <w:rFonts w:hint="eastAsia"/>
        </w:rPr>
        <w:t>深圳</w:t>
      </w:r>
      <w:r>
        <w:rPr>
          <w:rFonts w:hint="eastAsia"/>
        </w:rPr>
        <w:t>市</w:t>
      </w:r>
      <w:r w:rsidRPr="003C1D2E">
        <w:rPr>
          <w:rFonts w:hint="eastAsia"/>
        </w:rPr>
        <w:t>东盈投资管理有限公司</w:t>
      </w:r>
      <w:r>
        <w:rPr>
          <w:rFonts w:hint="eastAsia"/>
        </w:rPr>
        <w:t>是您安全获取高回报和成就梦想的最佳平台！</w:t>
      </w:r>
      <w:r w:rsidRPr="00CB4595">
        <w:br/>
      </w:r>
      <w:r w:rsidRPr="00CB4595">
        <w:t xml:space="preserve">　　</w:t>
      </w:r>
    </w:p>
    <w:p w:rsidR="00CB4595" w:rsidRDefault="00CB4595" w:rsidP="003C1D2E">
      <w:r>
        <w:rPr>
          <w:rFonts w:hint="eastAsia"/>
        </w:rPr>
        <w:t>我们的使命：</w:t>
      </w:r>
    </w:p>
    <w:p w:rsidR="00CB4595" w:rsidRDefault="00CB4595" w:rsidP="003C1D2E">
      <w:r>
        <w:rPr>
          <w:rFonts w:hint="eastAsia"/>
        </w:rPr>
        <w:t>用专业的投资知识和理念帮客户获取最大的投资收益。</w:t>
      </w:r>
    </w:p>
    <w:p w:rsidR="00CB4595" w:rsidRDefault="00CB4595" w:rsidP="003C1D2E"/>
    <w:p w:rsidR="00CB4595" w:rsidRDefault="00CB4595" w:rsidP="003C1D2E">
      <w:r>
        <w:rPr>
          <w:rFonts w:hint="eastAsia"/>
        </w:rPr>
        <w:t>我们的愿景：</w:t>
      </w:r>
    </w:p>
    <w:p w:rsidR="00CB4595" w:rsidRPr="00CB4595" w:rsidRDefault="00CB4595" w:rsidP="003C1D2E">
      <w:r>
        <w:rPr>
          <w:rFonts w:hint="eastAsia"/>
        </w:rPr>
        <w:t>争做行业第一，惠及千万国人。</w:t>
      </w:r>
    </w:p>
    <w:p w:rsidR="00CB4595" w:rsidRPr="00CB4595" w:rsidRDefault="00CB4595" w:rsidP="00CB4595"/>
    <w:p w:rsidR="00CB4595" w:rsidRDefault="00CB4595" w:rsidP="00CB4595"/>
    <w:p w:rsidR="00CB4595" w:rsidRDefault="00CB4595" w:rsidP="00CB4595">
      <w:pPr>
        <w:jc w:val="center"/>
      </w:pPr>
    </w:p>
    <w:p w:rsidR="004464EC" w:rsidRDefault="004464EC" w:rsidP="004464EC">
      <w:r>
        <w:rPr>
          <w:rFonts w:hint="eastAsia"/>
        </w:rPr>
        <w:lastRenderedPageBreak/>
        <w:t>代理商要求：</w:t>
      </w:r>
    </w:p>
    <w:p w:rsidR="004464EC" w:rsidRDefault="004464EC" w:rsidP="004464EC"/>
    <w:p w:rsidR="004464EC" w:rsidRDefault="004464EC" w:rsidP="004464EC">
      <w:r>
        <w:rPr>
          <w:rFonts w:hint="eastAsia"/>
        </w:rPr>
        <w:t>有一个固定的办公场所；</w:t>
      </w:r>
      <w:r>
        <w:rPr>
          <w:rFonts w:hint="eastAsia"/>
        </w:rPr>
        <w:t xml:space="preserve"> </w:t>
      </w:r>
    </w:p>
    <w:p w:rsidR="004464EC" w:rsidRDefault="004464EC" w:rsidP="004464EC">
      <w:r>
        <w:rPr>
          <w:rFonts w:hint="eastAsia"/>
        </w:rPr>
        <w:t>一个</w:t>
      </w:r>
      <w:r>
        <w:rPr>
          <w:rFonts w:hint="eastAsia"/>
        </w:rPr>
        <w:t>10</w:t>
      </w:r>
      <w:r>
        <w:rPr>
          <w:rFonts w:hint="eastAsia"/>
        </w:rPr>
        <w:t>到</w:t>
      </w:r>
      <w:r>
        <w:rPr>
          <w:rFonts w:hint="eastAsia"/>
        </w:rPr>
        <w:t>30</w:t>
      </w:r>
      <w:r>
        <w:rPr>
          <w:rFonts w:hint="eastAsia"/>
        </w:rPr>
        <w:t>个人组成的营销团队；</w:t>
      </w:r>
    </w:p>
    <w:p w:rsidR="004464EC" w:rsidRDefault="004464EC" w:rsidP="004464EC">
      <w:r>
        <w:rPr>
          <w:rFonts w:hint="eastAsia"/>
        </w:rPr>
        <w:t>具备必要的办公设备（如电脑、电话等）；</w:t>
      </w:r>
    </w:p>
    <w:p w:rsidR="004464EC" w:rsidRDefault="004464EC" w:rsidP="004464EC"/>
    <w:p w:rsidR="004464EC" w:rsidRDefault="004464EC" w:rsidP="004464EC">
      <w:r>
        <w:rPr>
          <w:rFonts w:hint="eastAsia"/>
        </w:rPr>
        <w:t>代理商的回报：可获得客户交易手续费及点差的</w:t>
      </w:r>
      <w:r>
        <w:rPr>
          <w:rFonts w:hint="eastAsia"/>
        </w:rPr>
        <w:t>80%</w:t>
      </w:r>
      <w:r>
        <w:rPr>
          <w:rFonts w:hint="eastAsia"/>
        </w:rPr>
        <w:t>。</w:t>
      </w:r>
    </w:p>
    <w:p w:rsidR="004464EC" w:rsidRDefault="004464EC" w:rsidP="004464EC">
      <w:r>
        <w:rPr>
          <w:rFonts w:hint="eastAsia"/>
        </w:rPr>
        <w:t>利润计算：</w:t>
      </w:r>
    </w:p>
    <w:p w:rsidR="004464EC" w:rsidRDefault="004464EC" w:rsidP="004464EC">
      <w:r>
        <w:rPr>
          <w:rFonts w:hint="eastAsia"/>
        </w:rPr>
        <w:t>代理商当月客户交易了</w:t>
      </w:r>
      <w:r>
        <w:rPr>
          <w:rFonts w:hint="eastAsia"/>
        </w:rPr>
        <w:t>2000</w:t>
      </w:r>
      <w:r>
        <w:rPr>
          <w:rFonts w:hint="eastAsia"/>
        </w:rPr>
        <w:t>手（以东盟油</w:t>
      </w:r>
      <w:r>
        <w:rPr>
          <w:rFonts w:hint="eastAsia"/>
        </w:rPr>
        <w:t>500</w:t>
      </w:r>
      <w:r>
        <w:rPr>
          <w:rFonts w:hint="eastAsia"/>
        </w:rPr>
        <w:t>计，如东盟油</w:t>
      </w:r>
      <w:r>
        <w:rPr>
          <w:rFonts w:hint="eastAsia"/>
        </w:rPr>
        <w:t>2000</w:t>
      </w:r>
      <w:r>
        <w:rPr>
          <w:rFonts w:hint="eastAsia"/>
        </w:rPr>
        <w:t>则手续费更高），每手可拿到的手续费及点差为</w:t>
      </w:r>
      <w:r>
        <w:rPr>
          <w:rFonts w:hint="eastAsia"/>
        </w:rPr>
        <w:t>182.4</w:t>
      </w:r>
      <w:r>
        <w:rPr>
          <w:rFonts w:hint="eastAsia"/>
        </w:rPr>
        <w:t>元，</w:t>
      </w:r>
      <w:r>
        <w:rPr>
          <w:rFonts w:hint="eastAsia"/>
        </w:rPr>
        <w:t>2000</w:t>
      </w:r>
      <w:r>
        <w:rPr>
          <w:rFonts w:hint="eastAsia"/>
        </w:rPr>
        <w:t>手即可获得</w:t>
      </w:r>
      <w:r>
        <w:rPr>
          <w:rFonts w:hint="eastAsia"/>
        </w:rPr>
        <w:t>364800</w:t>
      </w:r>
      <w:r>
        <w:rPr>
          <w:rFonts w:hint="eastAsia"/>
        </w:rPr>
        <w:t>元。</w:t>
      </w:r>
    </w:p>
    <w:p w:rsidR="004464EC" w:rsidRDefault="004464EC" w:rsidP="004464EC"/>
    <w:p w:rsidR="004464EC" w:rsidRDefault="004464EC" w:rsidP="004464EC">
      <w:r>
        <w:rPr>
          <w:rFonts w:hint="eastAsia"/>
        </w:rPr>
        <w:t>无技术难度，无公关难度，无需担心市场开发，无需担心货款回收。小投入，低风险，高回报。你还需要担心什么？拿起你手边的电话，直接拨打</w:t>
      </w:r>
      <w:r>
        <w:rPr>
          <w:rFonts w:hint="eastAsia"/>
        </w:rPr>
        <w:t>4008-505-933.</w:t>
      </w:r>
    </w:p>
    <w:p w:rsidR="004464EC" w:rsidRDefault="004464EC" w:rsidP="004464EC"/>
    <w:p w:rsidR="004464EC" w:rsidRDefault="004464EC" w:rsidP="004464EC">
      <w:r>
        <w:rPr>
          <w:rFonts w:hint="eastAsia"/>
        </w:rPr>
        <w:t>公司地址：深圳市宝安区宝源路</w:t>
      </w:r>
      <w:r>
        <w:rPr>
          <w:rFonts w:hint="eastAsia"/>
        </w:rPr>
        <w:t>1053</w:t>
      </w:r>
      <w:r>
        <w:rPr>
          <w:rFonts w:hint="eastAsia"/>
        </w:rPr>
        <w:t>号资信达大厦</w:t>
      </w:r>
      <w:r>
        <w:rPr>
          <w:rFonts w:hint="eastAsia"/>
        </w:rPr>
        <w:t>308</w:t>
      </w:r>
      <w:r>
        <w:rPr>
          <w:rFonts w:hint="eastAsia"/>
        </w:rPr>
        <w:t>室</w:t>
      </w:r>
    </w:p>
    <w:p w:rsidR="004464EC" w:rsidRPr="00135118" w:rsidRDefault="004464EC" w:rsidP="004464EC">
      <w:r>
        <w:rPr>
          <w:rFonts w:hint="eastAsia"/>
        </w:rPr>
        <w:t>电话：</w:t>
      </w:r>
      <w:r>
        <w:rPr>
          <w:rFonts w:hint="eastAsia"/>
        </w:rPr>
        <w:t>4008-505-933</w:t>
      </w:r>
      <w:r>
        <w:rPr>
          <w:rFonts w:hint="eastAsia"/>
        </w:rPr>
        <w:t>、</w:t>
      </w:r>
      <w:r>
        <w:rPr>
          <w:rFonts w:hint="eastAsia"/>
        </w:rPr>
        <w:t>18123937657</w:t>
      </w:r>
    </w:p>
    <w:p w:rsidR="00CB4595" w:rsidRPr="00CB4595" w:rsidRDefault="00466055" w:rsidP="00CB4595">
      <w:pPr>
        <w:jc w:val="center"/>
      </w:pPr>
      <w:r>
        <w:rPr>
          <w:noProof/>
        </w:rPr>
        <w:drawing>
          <wp:inline distT="0" distB="0" distL="0" distR="0">
            <wp:extent cx="5274310" cy="2344138"/>
            <wp:effectExtent l="19050" t="0" r="2540" b="0"/>
            <wp:docPr id="1" name="图片 1" descr="F:\个人资料\东盟\东盟交易所 宣传册、开户指南、交易规则\网站资料\彩页\QQ图片20150916120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个人资料\东盟\东盟交易所 宣传册、开户指南、交易规则\网站资料\彩页\QQ图片2015091612011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595" w:rsidRPr="00CB4595" w:rsidSect="00CE0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B4D" w:rsidRDefault="00093B4D" w:rsidP="00CB4595">
      <w:r>
        <w:separator/>
      </w:r>
    </w:p>
  </w:endnote>
  <w:endnote w:type="continuationSeparator" w:id="1">
    <w:p w:rsidR="00093B4D" w:rsidRDefault="00093B4D" w:rsidP="00CB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B4D" w:rsidRDefault="00093B4D" w:rsidP="00CB4595">
      <w:r>
        <w:separator/>
      </w:r>
    </w:p>
  </w:footnote>
  <w:footnote w:type="continuationSeparator" w:id="1">
    <w:p w:rsidR="00093B4D" w:rsidRDefault="00093B4D" w:rsidP="00CB4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B57"/>
    <w:rsid w:val="00093B4D"/>
    <w:rsid w:val="00187861"/>
    <w:rsid w:val="001F6F3D"/>
    <w:rsid w:val="002500AB"/>
    <w:rsid w:val="002576B2"/>
    <w:rsid w:val="003C1D2E"/>
    <w:rsid w:val="004464EC"/>
    <w:rsid w:val="00466055"/>
    <w:rsid w:val="00496732"/>
    <w:rsid w:val="00541017"/>
    <w:rsid w:val="00894777"/>
    <w:rsid w:val="008F6A0B"/>
    <w:rsid w:val="00B13A2B"/>
    <w:rsid w:val="00C94086"/>
    <w:rsid w:val="00CB4595"/>
    <w:rsid w:val="00CE0D3B"/>
    <w:rsid w:val="00DC6B57"/>
    <w:rsid w:val="00DF4CD4"/>
    <w:rsid w:val="00E6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3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C6B5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6B5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C6B5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DC6B5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B4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B459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B4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B4595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CB45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B4595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660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60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booby</dc:creator>
  <cp:lastModifiedBy>booby</cp:lastModifiedBy>
  <cp:revision>8</cp:revision>
  <dcterms:created xsi:type="dcterms:W3CDTF">2015-08-22T07:14:00Z</dcterms:created>
  <dcterms:modified xsi:type="dcterms:W3CDTF">2015-09-16T06:40:00Z</dcterms:modified>
</cp:coreProperties>
</file>